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Квалификационные требования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Для замещения должности заместителя руководителя аппарата главы администрации Алексеевского муниципального округа, начальника управления правовой работы устанавливаются квалификационные требования, включающие базовые и функциональные квалификационные требования.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Базовые квалификационные требования: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 уровню профессионального образования - высшее образование.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 стажу муниципальной службы или работы по специальности, направлению подготовки - стаж муниципальной службы или работы по специальности, направлению подготовки не менее двух лет.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Заместитель руководителя аппарата главы администрации Алексеевского муниципального округа, начальник управления правовой работы должен обладать следующими базовыми знаниями: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992" w:val="left"/>
        </w:tabs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знанием государственного языка Российской Федерации (русского языка);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1578" w:val="left"/>
        </w:tabs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правовыми знаниями основ: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977" w:val="left"/>
        </w:tabs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Конституции Российской Федерации;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982" w:val="left"/>
        </w:tabs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Федерального закона от 6 октября 2003 г. № 131-ФЗ «Об общих принципах организации местного самоуправления в Российской Федерации»;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973" w:val="left"/>
        </w:tabs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Федерального закона от 2 марта 2007 г. № 25-ФЗ «О муниципальной службе в Российской Федерации»;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967" w:val="left"/>
        </w:tabs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законодательства о противодействии коррупции;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987" w:val="left"/>
        </w:tabs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закона Белгородской области от 24 сентября 2007 года № 150 «Об особенностях организации муниципальной службы в Белгородской области».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Заместитель руководителя аппарата главы администрации Алексеевского муниципального округа, начальник управления правовой работы должен обладать следующими базовыми умениями: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972" w:val="left"/>
        </w:tabs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работать на компьютере, в том числе в сети «Интернет»;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996" w:val="left"/>
        </w:tabs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работать в информационно-правовых системах;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978" w:val="left"/>
        </w:tabs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руководить подчиненными, эффективно планировать работу и контролировать ее выполнение;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996" w:val="left"/>
        </w:tabs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оперативно принимать и реализовывать управленческие решения;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978" w:val="left"/>
        </w:tabs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вести деловые переговоры с представителями государственных органов, органов местного самоуправления, организаций;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991" w:val="left"/>
        </w:tabs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соблюдать этику делового общения при взаимодействии с гражданами.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Муниципальный служащий, замещающий должность заместителя руководителя аппарата главы администрации Алексеевского муниципального округа, начальника управления правовой работы должен соответствовать следующим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6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Функциональным квалификационным требованиям: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Заместитель руководителя аппарата главы администрации Алексеевского муниципального округа, начальник управления правовой работы должен иметь высшее профессиональное образование по специальности, направлению подготовки «Юриспруденция» или иным специальностям и направлениям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подготовки;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Заместитель руководителя аппарата главы администрации Алексеевского муниципального округа, начальник управления правовой работы должен обладать следующими знаниями в области законодательства Российской Федерации, знаниями муниципальных правовых актов и иными знаниями, которые необходимы для исполнения должностных обязанностей в соответствующей области деятельности и по виду деятельности:</w:t>
      </w:r>
    </w:p>
    <w:p>
      <w:pPr>
        <w:pStyle w:val="Style2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920" w:val="left"/>
        </w:tabs>
        <w:bidi w:val="0"/>
        <w:spacing w:before="0" w:after="0" w:line="240" w:lineRule="auto"/>
        <w:ind w:left="0" w:right="0" w:firstLine="5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Федеральные законы и иные федеральные нормативные правовые акты:</w:t>
      </w:r>
    </w:p>
    <w:p>
      <w:pPr>
        <w:pStyle w:val="Style2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pos="876" w:val="left"/>
        </w:tabs>
        <w:bidi w:val="0"/>
        <w:spacing w:before="0" w:after="0" w:line="240" w:lineRule="auto"/>
        <w:ind w:left="0" w:right="0" w:firstLine="6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Уголовный кодекс Российской Федерации (ст. 283, 284);</w:t>
      </w:r>
    </w:p>
    <w:p>
      <w:pPr>
        <w:pStyle w:val="Style2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pos="796" w:val="left"/>
        </w:tabs>
        <w:bidi w:val="0"/>
        <w:spacing w:before="0" w:after="0" w:line="240" w:lineRule="auto"/>
        <w:ind w:left="0" w:right="0" w:firstLine="5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Гражданский кодекс Российской Федерации;</w:t>
      </w:r>
    </w:p>
    <w:p>
      <w:pPr>
        <w:pStyle w:val="Style2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pos="800" w:val="left"/>
        </w:tabs>
        <w:bidi w:val="0"/>
        <w:spacing w:before="0" w:after="0" w:line="240" w:lineRule="auto"/>
        <w:ind w:left="0" w:right="0" w:firstLine="5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Гражданский процессуальный кодекс Российской Федерации;</w:t>
      </w:r>
    </w:p>
    <w:p>
      <w:pPr>
        <w:pStyle w:val="Style2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pos="800" w:val="left"/>
        </w:tabs>
        <w:bidi w:val="0"/>
        <w:spacing w:before="0" w:after="0" w:line="240" w:lineRule="auto"/>
        <w:ind w:left="0" w:right="0" w:firstLine="5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Трудовой кодекс Российской Федерации;</w:t>
      </w:r>
    </w:p>
    <w:p>
      <w:pPr>
        <w:pStyle w:val="Style2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pos="800" w:val="left"/>
        </w:tabs>
        <w:bidi w:val="0"/>
        <w:spacing w:before="0" w:after="0" w:line="240" w:lineRule="auto"/>
        <w:ind w:left="0" w:right="0" w:firstLine="5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Арбитражный процессуальный кодекс Российской Федерации;</w:t>
      </w:r>
    </w:p>
    <w:p>
      <w:pPr>
        <w:pStyle w:val="Style2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pos="796" w:val="left"/>
        </w:tabs>
        <w:bidi w:val="0"/>
        <w:spacing w:before="0" w:after="0" w:line="240" w:lineRule="auto"/>
        <w:ind w:left="0" w:right="0" w:firstLine="5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Кодекс административного судопроизводства Российской Федерации;</w:t>
      </w:r>
    </w:p>
    <w:p>
      <w:pPr>
        <w:pStyle w:val="Style2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pos="802" w:val="left"/>
        </w:tabs>
        <w:bidi w:val="0"/>
        <w:spacing w:before="0" w:after="0" w:line="240" w:lineRule="auto"/>
        <w:ind w:left="0" w:right="0" w:firstLine="5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Федеральный закон Российской Федерации от 22 октября 2004 г. № 125- ФЗ «Об архивном деле в Российской Федерации»;</w:t>
      </w:r>
    </w:p>
    <w:p>
      <w:pPr>
        <w:pStyle w:val="Style2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pos="802" w:val="left"/>
        </w:tabs>
        <w:bidi w:val="0"/>
        <w:spacing w:before="0" w:after="0" w:line="240" w:lineRule="auto"/>
        <w:ind w:left="0" w:right="0" w:firstLine="5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Федеральный закон Российской Федерации от 27 июля 2006 г. № 152-ФЗ «О персональных данных»;</w:t>
      </w:r>
    </w:p>
    <w:p>
      <w:pPr>
        <w:pStyle w:val="Style2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pos="807" w:val="left"/>
        </w:tabs>
        <w:bidi w:val="0"/>
        <w:spacing w:before="0" w:after="0" w:line="240" w:lineRule="auto"/>
        <w:ind w:left="0" w:right="0" w:firstLine="5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Федеральный закон Российской Федерации от 2 марта 2007 г. № 25-ФЗ «О муниципальной службе в Российской Федерации»;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pos="8774" w:val="left"/>
        </w:tabs>
        <w:bidi w:val="0"/>
        <w:spacing w:before="0" w:after="0" w:line="240" w:lineRule="auto"/>
        <w:ind w:left="108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Федеральный закон от 3 июля 2009 г. №</w:t>
        <w:tab/>
        <w:t>172-ФЗ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«Об антикоррупционной экспертизе нормативных правовых актов и проектов нормативных правовых актов»;</w:t>
      </w:r>
    </w:p>
    <w:p>
      <w:pPr>
        <w:pStyle w:val="Style2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pos="802" w:val="left"/>
        </w:tabs>
        <w:bidi w:val="0"/>
        <w:spacing w:before="0" w:after="0" w:line="240" w:lineRule="auto"/>
        <w:ind w:left="0" w:right="0" w:firstLine="6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Федеральный закон от 27 июля 2010 г. № 210-ФЗ «Об организации предоставления государственных и муниципальных услуг»;</w:t>
      </w:r>
    </w:p>
    <w:p>
      <w:pPr>
        <w:pStyle w:val="Style2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pos="802" w:val="left"/>
        </w:tabs>
        <w:bidi w:val="0"/>
        <w:spacing w:before="0" w:after="0" w:line="240" w:lineRule="auto"/>
        <w:ind w:left="0" w:right="0" w:firstLine="6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Федеральный закон Российской Федерации от 5 апреля 2013 г. № 44-ФЗ «О контрактной системе в сфере закупок товаров, работ, услуг для обеспечения государственных и муниципальных нужд»;</w:t>
      </w:r>
    </w:p>
    <w:p>
      <w:pPr>
        <w:pStyle w:val="Style2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pos="807" w:val="left"/>
        </w:tabs>
        <w:bidi w:val="0"/>
        <w:spacing w:before="0" w:after="0" w:line="240" w:lineRule="auto"/>
        <w:ind w:left="0" w:right="0" w:firstLine="6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>
      <w:pPr>
        <w:pStyle w:val="Style2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pos="874" w:val="left"/>
        </w:tabs>
        <w:bidi w:val="0"/>
        <w:spacing w:before="0" w:after="0" w:line="240" w:lineRule="auto"/>
        <w:ind w:left="0" w:right="0" w:firstLine="6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Постановление Правительства Российской Федерации от 5 марта 2009 г. № 195 «Об утверждении правил проведения экспертизы проектов нормативных правовых актов и иных документов в целях выявления в них положений, способствующих созданию условий для проявления коррупции»;</w:t>
      </w:r>
    </w:p>
    <w:p>
      <w:pPr>
        <w:pStyle w:val="Style2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pos="807" w:val="left"/>
        </w:tabs>
        <w:bidi w:val="0"/>
        <w:spacing w:before="0" w:after="0" w:line="240" w:lineRule="auto"/>
        <w:ind w:left="0" w:right="0" w:firstLine="5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Постановление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 (вместе с «Правилами проведения антикоррупционной экспертизы нормативных правовых актов и проектов нормативных правовых актов», «Методикой проведения антикоррупционной экспертизы нормативных правовых актов и проектов нормативных правовых актов»).</w:t>
      </w:r>
    </w:p>
    <w:p>
      <w:pPr>
        <w:pStyle w:val="Style2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1133" w:val="left"/>
        </w:tabs>
        <w:bidi w:val="0"/>
        <w:spacing w:before="0" w:after="0" w:line="240" w:lineRule="auto"/>
        <w:ind w:left="0" w:right="0" w:firstLine="5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основные положения нормативной правовой базы в сфере государственной политики по развитию конкуренции; основные положения антимонопольного законодательства.</w:t>
      </w:r>
    </w:p>
    <w:p>
      <w:pPr>
        <w:pStyle w:val="Style2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945" w:val="left"/>
        </w:tabs>
        <w:bidi w:val="0"/>
        <w:spacing w:before="0" w:after="0" w:line="240" w:lineRule="auto"/>
        <w:ind w:left="0" w:right="0" w:firstLine="5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иные знания:</w:t>
      </w:r>
    </w:p>
    <w:p>
      <w:pPr>
        <w:pStyle w:val="Style2"/>
        <w:keepNext w:val="0"/>
        <w:keepLines w:val="0"/>
        <w:widowControl w:val="0"/>
        <w:numPr>
          <w:ilvl w:val="0"/>
          <w:numId w:val="11"/>
        </w:numPr>
        <w:shd w:val="clear" w:color="auto" w:fill="auto"/>
        <w:tabs>
          <w:tab w:pos="810" w:val="left"/>
        </w:tabs>
        <w:bidi w:val="0"/>
        <w:spacing w:before="0" w:after="0" w:line="240" w:lineRule="auto"/>
        <w:ind w:left="0" w:right="0" w:firstLine="5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понятие нормативного правового акта в Российской Федерации;</w:t>
      </w:r>
    </w:p>
    <w:p>
      <w:pPr>
        <w:pStyle w:val="Style2"/>
        <w:keepNext w:val="0"/>
        <w:keepLines w:val="0"/>
        <w:widowControl w:val="0"/>
        <w:numPr>
          <w:ilvl w:val="0"/>
          <w:numId w:val="11"/>
        </w:numPr>
        <w:shd w:val="clear" w:color="auto" w:fill="auto"/>
        <w:tabs>
          <w:tab w:pos="817" w:val="left"/>
        </w:tabs>
        <w:bidi w:val="0"/>
        <w:spacing w:before="0" w:after="0" w:line="240" w:lineRule="auto"/>
        <w:ind w:left="0" w:right="0" w:firstLine="5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порядок разработки и утверждения проектов нормативных правовых актов в Российской Федерации;</w:t>
      </w:r>
    </w:p>
    <w:p>
      <w:pPr>
        <w:pStyle w:val="Style2"/>
        <w:keepNext w:val="0"/>
        <w:keepLines w:val="0"/>
        <w:widowControl w:val="0"/>
        <w:numPr>
          <w:ilvl w:val="0"/>
          <w:numId w:val="11"/>
        </w:numPr>
        <w:shd w:val="clear" w:color="auto" w:fill="auto"/>
        <w:tabs>
          <w:tab w:pos="817" w:val="left"/>
        </w:tabs>
        <w:bidi w:val="0"/>
        <w:spacing w:before="0" w:after="0" w:line="240" w:lineRule="auto"/>
        <w:ind w:left="0" w:right="0" w:firstLine="5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порядок опубликования и вступления в силу нормативных правовых актов в Российской Федерации;</w:t>
      </w:r>
    </w:p>
    <w:p>
      <w:pPr>
        <w:pStyle w:val="Style2"/>
        <w:keepNext w:val="0"/>
        <w:keepLines w:val="0"/>
        <w:widowControl w:val="0"/>
        <w:numPr>
          <w:ilvl w:val="0"/>
          <w:numId w:val="11"/>
        </w:numPr>
        <w:shd w:val="clear" w:color="auto" w:fill="auto"/>
        <w:tabs>
          <w:tab w:pos="812" w:val="left"/>
        </w:tabs>
        <w:bidi w:val="0"/>
        <w:spacing w:before="0" w:after="0" w:line="240" w:lineRule="auto"/>
        <w:ind w:left="0" w:right="0" w:firstLine="5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порядок обжалования решений, действий (бездействий) органов местного самоуправления.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Заместитель руководителя аппарата главы администрации Алексеевского муниципального округа, начальник управления правовой работы должен обладать следующими умениями, которые необходимы для исполнения должностных обязанностей в соответствующей области деятельности и по виду деятельности:</w:t>
      </w:r>
    </w:p>
    <w:p>
      <w:pPr>
        <w:pStyle w:val="Style2"/>
        <w:keepNext w:val="0"/>
        <w:keepLines w:val="0"/>
        <w:widowControl w:val="0"/>
        <w:numPr>
          <w:ilvl w:val="0"/>
          <w:numId w:val="11"/>
        </w:numPr>
        <w:shd w:val="clear" w:color="auto" w:fill="auto"/>
        <w:tabs>
          <w:tab w:pos="815" w:val="left"/>
        </w:tabs>
        <w:bidi w:val="0"/>
        <w:spacing w:before="0" w:after="0" w:line="240" w:lineRule="auto"/>
        <w:ind w:left="0" w:right="0" w:firstLine="5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составлять исковое заявление;</w:t>
      </w:r>
    </w:p>
    <w:p>
      <w:pPr>
        <w:pStyle w:val="Style2"/>
        <w:keepNext w:val="0"/>
        <w:keepLines w:val="0"/>
        <w:widowControl w:val="0"/>
        <w:numPr>
          <w:ilvl w:val="0"/>
          <w:numId w:val="11"/>
        </w:numPr>
        <w:shd w:val="clear" w:color="auto" w:fill="auto"/>
        <w:tabs>
          <w:tab w:pos="810" w:val="left"/>
        </w:tabs>
        <w:bidi w:val="0"/>
        <w:spacing w:before="0" w:after="0" w:line="240" w:lineRule="auto"/>
        <w:ind w:left="0" w:right="0" w:firstLine="5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составлять доверенность.</w:t>
      </w:r>
    </w:p>
    <w:sectPr>
      <w:footnotePr>
        <w:pos w:val="pageBottom"/>
        <w:numFmt w:val="decimal"/>
        <w:numRestart w:val="continuous"/>
      </w:footnotePr>
      <w:pgSz w:w="11900" w:h="16840"/>
      <w:pgMar w:top="1134" w:right="501" w:bottom="910" w:left="1675" w:header="706" w:footer="482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)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2">
    <w:multiLevelType w:val="multilevel"/>
    <w:lvl w:ilvl="0">
      <w:start w:val="1"/>
      <w:numFmt w:val="russianLower"/>
      <w:lvlText w:val="%1)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4">
    <w:multiLevelType w:val="multilevel"/>
    <w:lvl w:ilvl="0">
      <w:start w:val="1"/>
      <w:numFmt w:val="decimal"/>
      <w:lvlText w:val="%1)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6">
    <w:multiLevelType w:val="multilevel"/>
    <w:lvl w:ilvl="0">
      <w:start w:val="1"/>
      <w:numFmt w:val="russianLower"/>
      <w:lvlText w:val="%1)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8">
    <w:multiLevelType w:val="multilevel"/>
    <w:lvl w:ilvl="0">
      <w:start w:val="1"/>
      <w:numFmt w:val="bullet"/>
      <w:lvlText w:val="-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10">
    <w:multiLevelType w:val="multilevel"/>
    <w:lvl w:ilvl="0">
      <w:start w:val="1"/>
      <w:numFmt w:val="bullet"/>
      <w:lvlText w:val="-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  <w:num w:numId="11">
    <w:abstractNumId w:val="1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DefaultParagraphFont">
    <w:name w:val="Default Paragraph Font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customStyle="1" w:styleId="CharStyle3">
    <w:name w:val="Основной текст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Style2">
    <w:name w:val="Основной текст"/>
    <w:basedOn w:val="Normal"/>
    <w:link w:val="CharStyle3"/>
    <w:pPr>
      <w:widowControl w:val="0"/>
      <w:shd w:val="clear" w:color="auto" w:fill="auto"/>
      <w:ind w:firstLine="40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